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1E6B" w14:textId="63374108" w:rsidR="00544C98" w:rsidRDefault="001721CC" w:rsidP="00544C98">
      <w:pPr>
        <w:pStyle w:val="Heading1"/>
        <w:rPr>
          <w:noProof/>
        </w:rPr>
      </w:pPr>
      <w:r w:rsidRPr="00D06D68">
        <w:fldChar w:fldCharType="begin"/>
      </w:r>
      <w:r w:rsidRPr="00D06D68">
        <w:instrText xml:space="preserve"> TOC \o "1-3" \h \z \u </w:instrText>
      </w:r>
      <w:r w:rsidRPr="00D06D68">
        <w:fldChar w:fldCharType="separate"/>
      </w:r>
      <w:bookmarkStart w:id="0" w:name="_Toc530496910"/>
      <w:bookmarkStart w:id="1"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0"/>
    </w:p>
    <w:p w14:paraId="02AEC21C" w14:textId="44124A81" w:rsidR="00544C98" w:rsidRDefault="00544C98" w:rsidP="00544C98">
      <w:pPr>
        <w:pStyle w:val="Heading1"/>
        <w:rPr>
          <w:noProof/>
        </w:rPr>
      </w:pPr>
      <w:r>
        <w:rPr>
          <w:noProof/>
        </w:rPr>
        <w:t>Table of content</w:t>
      </w:r>
      <w:bookmarkEnd w:id="1"/>
    </w:p>
    <w:p w14:paraId="2A02843B" w14:textId="146D3A29" w:rsidR="00F10393" w:rsidRDefault="00044D80" w:rsidP="00544C98">
      <w:pPr>
        <w:pStyle w:val="TOC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044D80">
      <w:pPr>
        <w:pStyle w:val="TOC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044D80">
      <w:pPr>
        <w:pStyle w:val="TOC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044D80">
      <w:pPr>
        <w:pStyle w:val="TOC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044D80">
      <w:pPr>
        <w:pStyle w:val="TOC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044D80">
      <w:pPr>
        <w:pStyle w:val="TOC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044D80">
      <w:pPr>
        <w:pStyle w:val="TOC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044D80">
      <w:pPr>
        <w:pStyle w:val="TOC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044D80">
      <w:pPr>
        <w:pStyle w:val="TOC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044D80">
      <w:pPr>
        <w:pStyle w:val="TOC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044D80">
      <w:pPr>
        <w:pStyle w:val="TOC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044D80">
      <w:pPr>
        <w:pStyle w:val="TOC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044D80">
      <w:pPr>
        <w:pStyle w:val="TOC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044D80">
      <w:pPr>
        <w:pStyle w:val="TOC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044D80">
      <w:pPr>
        <w:pStyle w:val="TOC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044D80">
      <w:pPr>
        <w:pStyle w:val="TOC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044D80">
      <w:pPr>
        <w:pStyle w:val="TOC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044D80">
      <w:pPr>
        <w:pStyle w:val="TOC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044D80">
      <w:pPr>
        <w:pStyle w:val="TOC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044D80">
      <w:pPr>
        <w:pStyle w:val="TOC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044D80">
      <w:pPr>
        <w:pStyle w:val="TOC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044D80">
      <w:pPr>
        <w:pStyle w:val="TOC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044D80">
      <w:pPr>
        <w:pStyle w:val="TOC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044D80">
      <w:pPr>
        <w:pStyle w:val="TOC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044D80">
      <w:pPr>
        <w:pStyle w:val="TOC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044D80">
      <w:pPr>
        <w:pStyle w:val="TOC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044D80">
      <w:pPr>
        <w:pStyle w:val="TOC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044D80">
      <w:pPr>
        <w:pStyle w:val="TOC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044D80">
      <w:pPr>
        <w:pStyle w:val="TOC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044D80">
      <w:pPr>
        <w:pStyle w:val="TOC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044D80">
      <w:pPr>
        <w:pStyle w:val="TOC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044D80">
      <w:pPr>
        <w:pStyle w:val="TOC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044D80">
      <w:pPr>
        <w:pStyle w:val="TOC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044D80">
      <w:pPr>
        <w:pStyle w:val="TOC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044D80">
      <w:pPr>
        <w:pStyle w:val="TOC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044D80">
      <w:pPr>
        <w:pStyle w:val="TOC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044D80" w:rsidP="00D475F5">
      <w:pPr>
        <w:pStyle w:val="TOC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044D80">
      <w:pPr>
        <w:pStyle w:val="TOC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044D80">
      <w:pPr>
        <w:pStyle w:val="TOC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044D80">
      <w:pPr>
        <w:pStyle w:val="TOC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044D80">
      <w:pPr>
        <w:pStyle w:val="TOC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044D80">
      <w:pPr>
        <w:pStyle w:val="TOC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044D80">
      <w:pPr>
        <w:pStyle w:val="TOC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044D80">
      <w:pPr>
        <w:pStyle w:val="TOC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044D80">
      <w:pPr>
        <w:pStyle w:val="TOC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044D80">
      <w:pPr>
        <w:pStyle w:val="TOC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0586C2AF" w:rsidR="00544C98" w:rsidRPr="001C2768" w:rsidRDefault="0008316D" w:rsidP="004F33E1">
      <w:pPr>
        <w:pStyle w:val="Heading1"/>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Heading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Heading3"/>
        <w:spacing w:before="100" w:beforeAutospacing="1" w:after="100" w:afterAutospacing="1"/>
      </w:pPr>
      <w:bookmarkStart w:id="13" w:name="_Toc441250823"/>
      <w:bookmarkStart w:id="14" w:name="_Toc1637164"/>
      <w:r>
        <w:lastRenderedPageBreak/>
        <w:t xml:space="preserve">II.3.1 </w:t>
      </w:r>
      <w:r w:rsidR="00D30E81" w:rsidRPr="00D06D68">
        <w:t>Form and means of communication</w:t>
      </w:r>
      <w:bookmarkEnd w:id="13"/>
      <w:bookmarkEnd w:id="14"/>
    </w:p>
    <w:p w14:paraId="3BBB8B7F" w14:textId="4030F895"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3C0E14C6"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the</w:t>
      </w:r>
      <w:r w:rsidR="00BB52CD">
        <w:rPr>
          <w:szCs w:val="24"/>
        </w:rPr>
        <w:t xml:space="preserve"> original</w:t>
      </w:r>
      <w:r w:rsidR="00EF3646">
        <w:rPr>
          <w:szCs w:val="24"/>
        </w:rPr>
        <w:t xml:space="preserve"> </w:t>
      </w:r>
      <w:r w:rsidR="00BB52CD">
        <w:rPr>
          <w:szCs w:val="24"/>
        </w:rPr>
        <w:t xml:space="preserve">paper version of the communication </w:t>
      </w:r>
      <w:r w:rsidRPr="004264AF">
        <w:rPr>
          <w:szCs w:val="24"/>
        </w:rPr>
        <w:t xml:space="preserve"> as soon as possible.</w:t>
      </w:r>
    </w:p>
    <w:p w14:paraId="3BBB8B84" w14:textId="77777777" w:rsidR="00D30E81" w:rsidRPr="00D06D68" w:rsidRDefault="005A7083" w:rsidP="00797757">
      <w:pPr>
        <w:pStyle w:val="Heading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34371CB7"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BB52CD">
        <w:rPr>
          <w:szCs w:val="24"/>
        </w:rPr>
        <w:t>made</w:t>
      </w:r>
      <w:r w:rsidR="00BB52CD" w:rsidRPr="005B0613">
        <w:rPr>
          <w:szCs w:val="24"/>
        </w:rPr>
        <w:t xml:space="preserve"> </w:t>
      </w:r>
      <w:r w:rsidRPr="005B0613">
        <w:rPr>
          <w:szCs w:val="24"/>
        </w:rPr>
        <w:t xml:space="preserve">when the receiving party receives it, unless the Agreement states that communication is considered to have been </w:t>
      </w:r>
      <w:r w:rsidR="00BB52CD">
        <w:rPr>
          <w:szCs w:val="24"/>
        </w:rPr>
        <w:t>made</w:t>
      </w:r>
      <w:r w:rsidR="00BB52CD" w:rsidRPr="00E413E0">
        <w:rPr>
          <w:szCs w:val="24"/>
        </w:rPr>
        <w:t xml:space="preserve"> </w:t>
      </w:r>
      <w:r w:rsidRPr="009A2DCC">
        <w:rPr>
          <w:szCs w:val="24"/>
        </w:rPr>
        <w:t xml:space="preserve">on the date when </w:t>
      </w:r>
      <w:r w:rsidR="00EF3646" w:rsidRPr="009A2DCC">
        <w:rPr>
          <w:szCs w:val="24"/>
        </w:rPr>
        <w:t>it</w:t>
      </w:r>
      <w:r w:rsidRPr="009A2DCC">
        <w:rPr>
          <w:szCs w:val="24"/>
        </w:rPr>
        <w:t xml:space="preserve"> was sent.</w:t>
      </w:r>
    </w:p>
    <w:p w14:paraId="3BBB8B86" w14:textId="60FA3430" w:rsidR="00D30E81" w:rsidRPr="004264AF" w:rsidRDefault="00BB52CD" w:rsidP="00797757">
      <w:pPr>
        <w:spacing w:before="100" w:beforeAutospacing="1" w:after="100" w:afterAutospacing="1" w:line="240" w:lineRule="auto"/>
        <w:jc w:val="both"/>
        <w:rPr>
          <w:szCs w:val="24"/>
        </w:rPr>
      </w:pPr>
      <w:r>
        <w:rPr>
          <w:szCs w:val="24"/>
        </w:rPr>
        <w:t>E</w:t>
      </w:r>
      <w:r w:rsidR="00D30E81" w:rsidRPr="004264AF">
        <w:rPr>
          <w:szCs w:val="24"/>
        </w:rPr>
        <w:t xml:space="preserve">mail is considered to have been received by the receiving party on the </w:t>
      </w:r>
      <w:r w:rsidR="00774912">
        <w:rPr>
          <w:szCs w:val="24"/>
        </w:rPr>
        <w:t>da</w:t>
      </w:r>
      <w:r>
        <w:rPr>
          <w:szCs w:val="24"/>
        </w:rPr>
        <w:t>y</w:t>
      </w:r>
      <w:r w:rsidR="00774912" w:rsidRPr="004264AF">
        <w:rPr>
          <w:szCs w:val="24"/>
        </w:rPr>
        <w:t xml:space="preserve"> </w:t>
      </w:r>
      <w:r w:rsidR="00D30E81" w:rsidRPr="004264AF">
        <w:rPr>
          <w:szCs w:val="24"/>
        </w:rPr>
        <w:t>of dispatch</w:t>
      </w:r>
      <w:r>
        <w:rPr>
          <w:szCs w:val="24"/>
        </w:rPr>
        <w:t xml:space="preserve"> of that email</w:t>
      </w:r>
      <w:r w:rsidR="00D30E81" w:rsidRPr="004264AF">
        <w:rPr>
          <w:szCs w:val="24"/>
        </w:rPr>
        <w:t>, provided that it is sent to the email address indicated in Article I.</w:t>
      </w:r>
      <w:r w:rsidR="00950540">
        <w:rPr>
          <w:szCs w:val="24"/>
        </w:rPr>
        <w:t>6</w:t>
      </w:r>
      <w:r w:rsidR="00D30E81" w:rsidRPr="004264AF">
        <w:rPr>
          <w:szCs w:val="24"/>
        </w:rPr>
        <w:t xml:space="preserve">. The </w:t>
      </w:r>
      <w:r w:rsidR="005B0613">
        <w:rPr>
          <w:szCs w:val="24"/>
        </w:rPr>
        <w:t>send</w:t>
      </w:r>
      <w:r>
        <w:rPr>
          <w:szCs w:val="24"/>
        </w:rPr>
        <w:t>ing party</w:t>
      </w:r>
      <w:r w:rsidR="00D30E81" w:rsidRPr="004264AF">
        <w:rPr>
          <w:szCs w:val="24"/>
        </w:rPr>
        <w:t xml:space="preserve"> must be able to prove the date of dispatch. If the </w:t>
      </w:r>
      <w:r w:rsidR="005B0613">
        <w:rPr>
          <w:szCs w:val="24"/>
        </w:rPr>
        <w:t>send</w:t>
      </w:r>
      <w:r>
        <w:rPr>
          <w:szCs w:val="24"/>
        </w:rPr>
        <w:t>ing party</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w:t>
      </w:r>
      <w:r>
        <w:rPr>
          <w:szCs w:val="24"/>
        </w:rPr>
        <w:t>ing party</w:t>
      </w:r>
      <w:r w:rsidR="00D30E81" w:rsidRPr="004264AF">
        <w:rPr>
          <w:szCs w:val="24"/>
        </w:rPr>
        <w:t xml:space="preserve"> is not held in breach of its obligation to send </w:t>
      </w:r>
      <w:r>
        <w:rPr>
          <w:szCs w:val="24"/>
        </w:rPr>
        <w:t xml:space="preserve">such </w:t>
      </w:r>
      <w:r w:rsidR="00D30E81" w:rsidRPr="004264AF">
        <w:rPr>
          <w:szCs w:val="24"/>
        </w:rPr>
        <w:t xml:space="preserve">communication within a specified </w:t>
      </w:r>
      <w:r>
        <w:rPr>
          <w:szCs w:val="24"/>
        </w:rPr>
        <w:t>deadline</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77EBF343" w14:textId="7ACE86D7" w:rsidR="00030FCD" w:rsidRDefault="00D30E81" w:rsidP="00BB52CD">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considered </w:t>
      </w:r>
      <w:r w:rsidR="00BB52CD">
        <w:rPr>
          <w:szCs w:val="24"/>
        </w:rPr>
        <w:t>to have</w:t>
      </w:r>
      <w:r w:rsidRPr="004264AF">
        <w:rPr>
          <w:szCs w:val="24"/>
        </w:rPr>
        <w:t xml:space="preserve"> been received </w:t>
      </w:r>
      <w:r w:rsidR="00BB52CD">
        <w:rPr>
          <w:szCs w:val="24"/>
        </w:rPr>
        <w:t xml:space="preserve">by the receiving party </w:t>
      </w:r>
      <w:r w:rsidRPr="004264AF">
        <w:rPr>
          <w:szCs w:val="24"/>
        </w:rPr>
        <w:t xml:space="preserve">on the date of receipt indicated in the proof received by the </w:t>
      </w:r>
      <w:r w:rsidR="005B0613">
        <w:rPr>
          <w:szCs w:val="24"/>
        </w:rPr>
        <w:t>sen</w:t>
      </w:r>
      <w:r w:rsidR="00BB52CD">
        <w:rPr>
          <w:szCs w:val="24"/>
        </w:rPr>
        <w:t>ding party</w:t>
      </w:r>
      <w:r w:rsidRPr="004264AF">
        <w:rPr>
          <w:szCs w:val="24"/>
        </w:rPr>
        <w:t xml:space="preserve"> that the message was delivered</w:t>
      </w:r>
      <w:r w:rsidR="00BB52CD">
        <w:rPr>
          <w:szCs w:val="24"/>
        </w:rPr>
        <w:t xml:space="preserve"> specified recipient</w:t>
      </w:r>
      <w:r w:rsidR="00030FCD" w:rsidRPr="004852FA">
        <w:rPr>
          <w:szCs w:val="24"/>
        </w:rPr>
        <w:t>.</w:t>
      </w:r>
    </w:p>
    <w:p w14:paraId="3BBB8B9C" w14:textId="77777777" w:rsidR="00D30E81" w:rsidRPr="001A04C2" w:rsidRDefault="00A73DA2" w:rsidP="00797757">
      <w:pPr>
        <w:pStyle w:val="Heading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Heading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lastRenderedPageBreak/>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Heading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Heading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Heading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FootnoteReference"/>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Heading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stParagraph"/>
        <w:spacing w:after="0"/>
        <w:rPr>
          <w:lang w:val="en-GB"/>
        </w:rPr>
      </w:pPr>
    </w:p>
    <w:p w14:paraId="33B63250" w14:textId="758F7AB4" w:rsidR="002C5FCC" w:rsidRPr="001C2768" w:rsidRDefault="002C5FCC" w:rsidP="0013424F">
      <w:pPr>
        <w:pStyle w:val="ListParagraph"/>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Heading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Heading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Heading3"/>
        <w:spacing w:before="100" w:beforeAutospacing="1" w:after="100" w:afterAutospacing="1"/>
      </w:pPr>
      <w:bookmarkStart w:id="33" w:name="_Toc441250835"/>
      <w:bookmarkStart w:id="34" w:name="_Toc1637174"/>
      <w:r w:rsidRPr="00D06D68">
        <w:lastRenderedPageBreak/>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Heading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Heading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Heading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Heading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Heading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FootnoteReference"/>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FootnoteReference"/>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Heading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5A620BE4"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7CB71DE1"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I</w:t>
      </w:r>
      <w:r w:rsidR="00BB52CD">
        <w:rPr>
          <w:szCs w:val="24"/>
        </w:rPr>
        <w:t>I</w:t>
      </w:r>
      <w:r w:rsidRPr="004264AF">
        <w:rPr>
          <w:szCs w:val="24"/>
        </w:rPr>
        <w:t xml:space="preserve">,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Heading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3B686"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019E350F" w:rsidR="00D30E81" w:rsidRPr="001A04C2" w:rsidRDefault="00351830" w:rsidP="00797757">
      <w:pPr>
        <w:pStyle w:val="Heading2"/>
        <w:spacing w:before="100" w:beforeAutospacing="1" w:after="100" w:afterAutospacing="1"/>
      </w:pPr>
      <w:bookmarkStart w:id="49" w:name="_Toc441250843"/>
      <w:bookmarkStart w:id="50" w:name="_Toc1637182"/>
      <w:r>
        <w:t>ARTICLE II.13 – AMENDMENTS TO THE AGREEMENT</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Heading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Heading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Heading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Heading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Heading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Heading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lastRenderedPageBreak/>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Heading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Heading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Heading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lastRenderedPageBreak/>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Heading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Heading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Heading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Heading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lastRenderedPageBreak/>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Heading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lastRenderedPageBreak/>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Heading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Heading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Heading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Heading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22B6A270"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Heading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lastRenderedPageBreak/>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Heading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Heading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6922E93"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Heading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Heading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lastRenderedPageBreak/>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Heading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lastRenderedPageBreak/>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Heading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lastRenderedPageBreak/>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Heading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Heading2"/>
        <w:spacing w:before="100" w:beforeAutospacing="1" w:after="100" w:afterAutospacing="1"/>
      </w:pPr>
      <w:bookmarkStart w:id="95" w:name="_Toc441250867"/>
      <w:bookmarkStart w:id="96" w:name="_Toc1637205"/>
      <w:r>
        <w:t>ARTICLE II.22 – BUDGET TRANSFERS</w:t>
      </w:r>
      <w:bookmarkEnd w:id="95"/>
      <w:bookmarkEnd w:id="96"/>
    </w:p>
    <w:p w14:paraId="3BBB8CE2" w14:textId="3111778C"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allowed to adjust the estimated budget set out in Annex II</w:t>
      </w:r>
      <w:r w:rsidR="00BB52CD">
        <w:rPr>
          <w:szCs w:val="24"/>
        </w:rPr>
        <w:t>I</w:t>
      </w:r>
      <w:r w:rsidR="00D30E81" w:rsidRPr="004264AF">
        <w:rPr>
          <w:szCs w:val="24"/>
        </w:rPr>
        <w:t xml:space="preserve"> by transfers between the different budget categories, if the </w:t>
      </w:r>
      <w:r w:rsidR="00D30E81" w:rsidRPr="004264AF">
        <w:rPr>
          <w:i/>
          <w:szCs w:val="24"/>
        </w:rPr>
        <w:t>action</w:t>
      </w:r>
      <w:r w:rsidR="00D30E81" w:rsidRPr="004264AF">
        <w:rPr>
          <w:szCs w:val="24"/>
        </w:rPr>
        <w:t xml:space="preserve"> is implemented as described in Annex 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lastRenderedPageBreak/>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Heading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Heading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Heading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Heading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06240DE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30361ACE"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Heading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lastRenderedPageBreak/>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CommentReference"/>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Heading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Heading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Heading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lastRenderedPageBreak/>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Heading2"/>
        <w:spacing w:before="100" w:beforeAutospacing="1" w:after="100" w:afterAutospacing="1"/>
      </w:pPr>
      <w:bookmarkStart w:id="106" w:name="_Toc1637210"/>
      <w:r>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26AF1A0B"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w:t>
      </w:r>
      <w:r w:rsidR="00F12040">
        <w:rPr>
          <w:szCs w:val="24"/>
        </w:rPr>
        <w:t>, irregularities, fraud</w:t>
      </w:r>
      <w:r w:rsidRPr="004264AF">
        <w:rPr>
          <w:szCs w:val="24"/>
        </w:rPr>
        <w:t xml:space="preserve"> or breach of obligations.</w:t>
      </w:r>
    </w:p>
    <w:p w14:paraId="3BBB8D22" w14:textId="4C04238F" w:rsidR="00D30E81" w:rsidRPr="00D06D68" w:rsidRDefault="00D30E81" w:rsidP="001C2768">
      <w:pPr>
        <w:pStyle w:val="Heading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This step is applied as follows:</w:t>
      </w:r>
    </w:p>
    <w:p w14:paraId="7E77946D" w14:textId="2686DD3B"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 xml:space="preserve">If, as provided for in Article I.3.2(a)(i), the grant takes the form of the reimbursement of eligible costs actually incurred, the reimbursement rate specified in that Article is applied to those eligible costs as approved by the Commission for the corresponding categories of costs, </w:t>
      </w:r>
      <w:r w:rsidR="00F12040">
        <w:rPr>
          <w:szCs w:val="24"/>
        </w:rPr>
        <w:t xml:space="preserve">for the </w:t>
      </w:r>
      <w:r w:rsidRPr="00180212">
        <w:rPr>
          <w:szCs w:val="24"/>
        </w:rPr>
        <w:t>beneficiar</w:t>
      </w:r>
      <w:r w:rsidR="00F12040">
        <w:rPr>
          <w:szCs w:val="24"/>
        </w:rPr>
        <w:t>y</w:t>
      </w:r>
      <w:r w:rsidRPr="00180212">
        <w:rPr>
          <w:szCs w:val="24"/>
        </w:rPr>
        <w:t xml:space="preserve"> and </w:t>
      </w:r>
      <w:r w:rsidR="00F12040">
        <w:rPr>
          <w:szCs w:val="24"/>
        </w:rPr>
        <w:t xml:space="preserve">its </w:t>
      </w:r>
      <w:r w:rsidRPr="00180212">
        <w:rPr>
          <w:szCs w:val="24"/>
        </w:rPr>
        <w:t>affiliated entities</w:t>
      </w:r>
      <w:r w:rsidR="00F12040">
        <w:rPr>
          <w:szCs w:val="24"/>
        </w:rPr>
        <w:t>;</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5426FD05" w:rsidR="00180212" w:rsidRPr="00180212" w:rsidRDefault="00180212" w:rsidP="001C2768">
      <w:pPr>
        <w:spacing w:after="0" w:line="240" w:lineRule="auto"/>
        <w:ind w:left="851"/>
        <w:jc w:val="both"/>
        <w:rPr>
          <w:szCs w:val="24"/>
          <w:lang w:val="en-US"/>
        </w:rPr>
      </w:pPr>
      <w:r w:rsidRPr="00180212">
        <w:rPr>
          <w:szCs w:val="24"/>
          <w:lang w:val="en-US"/>
        </w:rPr>
        <w:t xml:space="preserve">The </w:t>
      </w:r>
      <w:r w:rsidR="00F12040">
        <w:rPr>
          <w:szCs w:val="24"/>
          <w:lang w:val="en-US"/>
        </w:rPr>
        <w:t xml:space="preserve">accepted </w:t>
      </w:r>
      <w:r w:rsidRPr="00180212">
        <w:rPr>
          <w:szCs w:val="24"/>
          <w:lang w:val="en-US"/>
        </w:rPr>
        <w:t xml:space="preserve">amount of volunteers' work for the </w:t>
      </w:r>
      <w:r w:rsidR="00F12040" w:rsidRPr="00180212">
        <w:rPr>
          <w:szCs w:val="24"/>
          <w:lang w:val="en-US"/>
        </w:rPr>
        <w:t>beneficiar</w:t>
      </w:r>
      <w:r w:rsidR="00F12040">
        <w:rPr>
          <w:szCs w:val="24"/>
          <w:lang w:val="en-US"/>
        </w:rPr>
        <w:t>y</w:t>
      </w:r>
      <w:r w:rsidR="00F12040" w:rsidRPr="00180212">
        <w:rPr>
          <w:szCs w:val="24"/>
          <w:lang w:val="en-US"/>
        </w:rPr>
        <w:t xml:space="preserve"> </w:t>
      </w:r>
      <w:r w:rsidRPr="00180212">
        <w:rPr>
          <w:szCs w:val="24"/>
          <w:lang w:val="en-US"/>
        </w:rPr>
        <w:t xml:space="preserve">and </w:t>
      </w:r>
      <w:r w:rsidR="00F12040">
        <w:rPr>
          <w:szCs w:val="24"/>
          <w:lang w:val="en-US"/>
        </w:rPr>
        <w:t xml:space="preserve">its </w:t>
      </w:r>
      <w:r w:rsidRPr="00180212">
        <w:rPr>
          <w:szCs w:val="24"/>
          <w:lang w:val="en-US"/>
        </w:rPr>
        <w:t>affiliated entities must be limited to the following amount, whichever is the lowest:</w:t>
      </w:r>
    </w:p>
    <w:p w14:paraId="0D8A171F" w14:textId="08621BBF"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 xml:space="preserve">the total sources of financing as indicated in the </w:t>
      </w:r>
      <w:r w:rsidR="00F12040">
        <w:rPr>
          <w:szCs w:val="24"/>
          <w:lang w:val="en-US"/>
        </w:rPr>
        <w:t>estimated budget set out in Annex II</w:t>
      </w:r>
      <w:r w:rsidRPr="00180212">
        <w:rPr>
          <w:szCs w:val="24"/>
          <w:lang w:val="en-US"/>
        </w:rPr>
        <w:t xml:space="preserve"> and as accepted by the Commission multiplied by fifty per cent; or</w:t>
      </w:r>
    </w:p>
    <w:p w14:paraId="2A70D3DF" w14:textId="36CF2BFB"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 xml:space="preserve">the amount of volunteers' work </w:t>
      </w:r>
      <w:r w:rsidR="00F12040">
        <w:rPr>
          <w:szCs w:val="24"/>
          <w:lang w:val="en-US"/>
        </w:rPr>
        <w:t xml:space="preserve">as </w:t>
      </w:r>
      <w:r w:rsidRPr="00180212">
        <w:rPr>
          <w:szCs w:val="24"/>
          <w:lang w:val="en-US"/>
        </w:rPr>
        <w:t xml:space="preserve">indicated in the </w:t>
      </w:r>
      <w:r w:rsidR="00F12040">
        <w:rPr>
          <w:szCs w:val="24"/>
          <w:lang w:val="en-US"/>
        </w:rPr>
        <w:t>final financial statement.</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44D6FB7F" w:rsidR="008B200C" w:rsidRPr="00D92B6C" w:rsidRDefault="00180212" w:rsidP="001C2768">
      <w:pPr>
        <w:numPr>
          <w:ilvl w:val="0"/>
          <w:numId w:val="92"/>
        </w:numPr>
        <w:spacing w:before="240" w:line="240" w:lineRule="auto"/>
        <w:ind w:left="851" w:hanging="567"/>
        <w:jc w:val="both"/>
        <w:rPr>
          <w:szCs w:val="24"/>
        </w:rPr>
      </w:pPr>
      <w:r w:rsidRPr="00D92B6C">
        <w:rPr>
          <w:szCs w:val="24"/>
        </w:rPr>
        <w:t xml:space="preserve">If, as provided for in Article I.3.2(e), the grant takes the form of financing not linked to costs, the Commission applies the amount specified in that Article for the </w:t>
      </w:r>
      <w:r w:rsidR="00F12040" w:rsidRPr="00D92B6C">
        <w:rPr>
          <w:szCs w:val="24"/>
        </w:rPr>
        <w:t>beneficiar</w:t>
      </w:r>
      <w:r w:rsidR="00F12040">
        <w:rPr>
          <w:szCs w:val="24"/>
        </w:rPr>
        <w:t>y</w:t>
      </w:r>
      <w:r w:rsidR="00F12040" w:rsidRPr="00D92B6C">
        <w:rPr>
          <w:szCs w:val="24"/>
        </w:rPr>
        <w:t xml:space="preserve"> </w:t>
      </w:r>
      <w:r w:rsidRPr="00D92B6C">
        <w:rPr>
          <w:szCs w:val="24"/>
        </w:rPr>
        <w:t xml:space="preserve">and </w:t>
      </w:r>
      <w:r w:rsidR="00F12040">
        <w:rPr>
          <w:szCs w:val="24"/>
        </w:rPr>
        <w:t xml:space="preserve">its </w:t>
      </w:r>
      <w:r w:rsidRPr="00D92B6C">
        <w:rPr>
          <w:szCs w:val="24"/>
        </w:rPr>
        <w:t>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Heading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lastRenderedPageBreak/>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Heading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067B23A3"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w:t>
      </w:r>
      <w:r w:rsidR="00FA2F3C">
        <w:rPr>
          <w:rFonts w:eastAsia="Times New Roman"/>
          <w:szCs w:val="20"/>
          <w:lang w:eastAsia="en-GB"/>
        </w:rPr>
        <w:t>Step 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3D12D84A" w:rsidR="00D30E81" w:rsidRPr="00D06D68" w:rsidRDefault="00D30E81" w:rsidP="001C2768">
      <w:pPr>
        <w:pStyle w:val="Heading3"/>
        <w:spacing w:before="100" w:beforeAutospacing="1" w:after="100" w:afterAutospacing="1"/>
        <w:ind w:left="851" w:hanging="851"/>
      </w:pPr>
      <w:bookmarkStart w:id="113" w:name="_Toc441250876"/>
      <w:bookmarkStart w:id="114" w:name="_Toc1637214"/>
      <w:r w:rsidRPr="00D06D68">
        <w:lastRenderedPageBreak/>
        <w:t>II.25.4</w:t>
      </w:r>
      <w:r w:rsidRPr="00D06D68">
        <w:tab/>
        <w:t xml:space="preserve">Step 4 — </w:t>
      </w:r>
      <w:r w:rsidRPr="00CF4A18">
        <w:t>Reduction due to improper implementation</w:t>
      </w:r>
      <w:r w:rsidR="00FA2F3C">
        <w:t>, irregularities, fraud</w:t>
      </w:r>
      <w:r w:rsidRPr="00CF4A18">
        <w:t xml:space="preserve"> or breach of obligations</w:t>
      </w:r>
      <w:bookmarkEnd w:id="113"/>
      <w:bookmarkEnd w:id="114"/>
    </w:p>
    <w:p w14:paraId="3BBB8D3B" w14:textId="17D9B1F9"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w:t>
      </w:r>
      <w:r w:rsidR="001316AA">
        <w:rPr>
          <w:szCs w:val="24"/>
        </w:rPr>
        <w:t>I</w:t>
      </w:r>
      <w:r w:rsidRPr="004264AF">
        <w:rPr>
          <w:szCs w:val="24"/>
        </w:rPr>
        <w:t xml:space="preserve"> (i.e. if it has not been implemented or has been implemented poorly, partially or late), or </w:t>
      </w:r>
      <w:r w:rsidR="00FA2F3C">
        <w:rPr>
          <w:szCs w:val="24"/>
        </w:rPr>
        <w:t>i</w:t>
      </w:r>
      <w:r w:rsidR="00FA2F3C" w:rsidRPr="00FA2F3C">
        <w:rPr>
          <w:szCs w:val="24"/>
        </w:rPr>
        <w:t>n case of i</w:t>
      </w:r>
      <w:r w:rsidR="00FA2F3C" w:rsidRPr="003C3006">
        <w:rPr>
          <w:i/>
          <w:szCs w:val="24"/>
        </w:rPr>
        <w:t>rregularity</w:t>
      </w:r>
      <w:r w:rsidR="00FA2F3C" w:rsidRPr="00FA2F3C">
        <w:rPr>
          <w:szCs w:val="24"/>
        </w:rPr>
        <w:t xml:space="preserve">, </w:t>
      </w:r>
      <w:r w:rsidR="00FA2F3C" w:rsidRPr="003C3006">
        <w:rPr>
          <w:i/>
          <w:szCs w:val="24"/>
        </w:rPr>
        <w:t>fraud</w:t>
      </w:r>
      <w:r w:rsidR="00FA2F3C" w:rsidRPr="00FA2F3C">
        <w:rPr>
          <w:szCs w:val="24"/>
        </w:rPr>
        <w:t xml:space="preserve"> or breach of an </w:t>
      </w:r>
      <w:r w:rsidRPr="004264AF">
        <w:rPr>
          <w:szCs w:val="24"/>
        </w:rPr>
        <w:t>obligation under the Agreement.</w:t>
      </w:r>
    </w:p>
    <w:p w14:paraId="3BBB8D3C" w14:textId="23908968"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w:t>
      </w:r>
      <w:r w:rsidR="00FA2F3C">
        <w:rPr>
          <w:i/>
          <w:szCs w:val="24"/>
        </w:rPr>
        <w:t xml:space="preserve">irregularity, fraud or </w:t>
      </w:r>
      <w:r w:rsidRPr="003C3006">
        <w:rPr>
          <w:i/>
          <w:szCs w:val="24"/>
        </w:rPr>
        <w:t>breach</w:t>
      </w:r>
      <w:r w:rsidR="00FA2F3C" w:rsidRPr="003C3006">
        <w:rPr>
          <w:i/>
          <w:szCs w:val="24"/>
        </w:rPr>
        <w:t xml:space="preserve"> of obligation</w:t>
      </w:r>
      <w:r w:rsidRPr="004264AF">
        <w:rPr>
          <w:szCs w:val="24"/>
        </w:rPr>
        <w:t>.</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E737DA0"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00FA2F3C">
        <w:rPr>
          <w:i/>
          <w:szCs w:val="24"/>
        </w:rPr>
        <w:t xml:space="preserve">irregularity, fraud or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Heading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Heading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lastRenderedPageBreak/>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Heading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Heading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58D495E"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w:t>
      </w:r>
      <w:r w:rsidR="00FA2F3C">
        <w:rPr>
          <w:szCs w:val="24"/>
        </w:rPr>
        <w:t xml:space="preserve"> </w:t>
      </w:r>
      <w:r w:rsidRPr="004264AF">
        <w:rPr>
          <w:szCs w:val="24"/>
        </w:rPr>
        <w:t>I.</w:t>
      </w:r>
      <w:r w:rsidR="001316AA">
        <w:rPr>
          <w:szCs w:val="24"/>
        </w:rPr>
        <w:t>4</w:t>
      </w:r>
      <w:r w:rsidRPr="004264AF">
        <w:rPr>
          <w:szCs w:val="24"/>
        </w:rPr>
        <w:t>.</w:t>
      </w:r>
      <w:r w:rsidR="001316AA">
        <w:rPr>
          <w:szCs w:val="24"/>
        </w:rPr>
        <w:t>13</w:t>
      </w:r>
      <w:r w:rsidR="001316AA" w:rsidRPr="004264AF">
        <w:rPr>
          <w:szCs w:val="24"/>
        </w:rPr>
        <w:t xml:space="preserve"> </w:t>
      </w:r>
      <w:bookmarkStart w:id="123" w:name="_GoBack"/>
      <w:bookmarkEnd w:id="123"/>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FootnoteReference"/>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68445F8E" w:rsidR="00D30E81" w:rsidRPr="00D06D68" w:rsidRDefault="00D30E81" w:rsidP="00797757">
      <w:pPr>
        <w:pStyle w:val="Heading3"/>
        <w:spacing w:before="100" w:beforeAutospacing="1" w:after="100" w:afterAutospacing="1"/>
      </w:pPr>
      <w:bookmarkStart w:id="140" w:name="_Toc441250890"/>
      <w:bookmarkStart w:id="141" w:name="_Toc1637227"/>
      <w:r w:rsidRPr="00D06D68">
        <w:t>II.27.7 Correction of systemic or recurrent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606C3073"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lastRenderedPageBreak/>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lastRenderedPageBreak/>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FootnoteReference"/>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FootnoteReference"/>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Heading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AB1E3E" w:rsidRDefault="00AB1E3E" w:rsidP="009533DC">
      <w:pPr>
        <w:spacing w:after="0" w:line="240" w:lineRule="auto"/>
      </w:pPr>
      <w:r>
        <w:separator/>
      </w:r>
    </w:p>
  </w:endnote>
  <w:endnote w:type="continuationSeparator" w:id="0">
    <w:p w14:paraId="3BBB8DB5" w14:textId="77777777" w:rsidR="00AB1E3E" w:rsidRDefault="00AB1E3E"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3D02" w14:textId="77777777" w:rsidR="00AB1E3E" w:rsidRDefault="00AB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3AA27DA2" w:rsidR="00AB1E3E" w:rsidRDefault="00AB1E3E">
    <w:pPr>
      <w:pStyle w:val="Footer"/>
      <w:jc w:val="right"/>
    </w:pPr>
    <w:r>
      <w:fldChar w:fldCharType="begin"/>
    </w:r>
    <w:r>
      <w:instrText xml:space="preserve"> PAGE   \* MERGEFORMAT </w:instrText>
    </w:r>
    <w:r>
      <w:fldChar w:fldCharType="separate"/>
    </w:r>
    <w:r w:rsidR="00044D80">
      <w:rPr>
        <w:noProof/>
      </w:rPr>
      <w:t>19</w:t>
    </w:r>
    <w:r>
      <w:rPr>
        <w:noProof/>
      </w:rPr>
      <w:fldChar w:fldCharType="end"/>
    </w:r>
  </w:p>
  <w:p w14:paraId="3BBB8DB8" w14:textId="77777777" w:rsidR="00AB1E3E" w:rsidRDefault="00AB1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681F" w14:textId="77777777" w:rsidR="00AB1E3E" w:rsidRDefault="00AB1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0EDE0940" w:rsidR="00AB1E3E" w:rsidRDefault="00AB1E3E">
    <w:pPr>
      <w:pStyle w:val="Footer"/>
      <w:jc w:val="right"/>
    </w:pPr>
    <w:r>
      <w:fldChar w:fldCharType="begin"/>
    </w:r>
    <w:r>
      <w:instrText xml:space="preserve"> PAGE   \* MERGEFORMAT </w:instrText>
    </w:r>
    <w:r>
      <w:fldChar w:fldCharType="separate"/>
    </w:r>
    <w:r w:rsidR="00044D80">
      <w:rPr>
        <w:noProof/>
      </w:rPr>
      <w:t>37</w:t>
    </w:r>
    <w:r>
      <w:rPr>
        <w:noProof/>
      </w:rPr>
      <w:fldChar w:fldCharType="end"/>
    </w:r>
  </w:p>
  <w:p w14:paraId="3BBB8DBB" w14:textId="77777777" w:rsidR="00AB1E3E" w:rsidRDefault="00AB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AB1E3E" w:rsidRDefault="00AB1E3E" w:rsidP="009533DC">
      <w:pPr>
        <w:spacing w:after="0" w:line="240" w:lineRule="auto"/>
      </w:pPr>
      <w:r>
        <w:separator/>
      </w:r>
    </w:p>
  </w:footnote>
  <w:footnote w:type="continuationSeparator" w:id="0">
    <w:p w14:paraId="3BBB8DB3" w14:textId="77777777" w:rsidR="00AB1E3E" w:rsidRDefault="00AB1E3E" w:rsidP="009533DC">
      <w:pPr>
        <w:spacing w:after="0" w:line="240" w:lineRule="auto"/>
      </w:pPr>
      <w:r>
        <w:continuationSeparator/>
      </w:r>
    </w:p>
  </w:footnote>
  <w:footnote w:id="1">
    <w:p w14:paraId="3BBB8DE9" w14:textId="12010E05" w:rsidR="00AB1E3E" w:rsidRPr="00A83724" w:rsidRDefault="00AB1E3E" w:rsidP="002F2688">
      <w:pPr>
        <w:tabs>
          <w:tab w:val="left" w:pos="284"/>
        </w:tabs>
        <w:spacing w:after="0" w:line="240" w:lineRule="auto"/>
        <w:ind w:left="284" w:hanging="284"/>
        <w:jc w:val="both"/>
        <w:rPr>
          <w:sz w:val="20"/>
          <w:szCs w:val="20"/>
        </w:rPr>
      </w:pPr>
      <w:r w:rsidRPr="003F39F9">
        <w:rPr>
          <w:rStyle w:val="FootnoteReference"/>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AB1E3E" w:rsidRPr="003F39F9"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AB1E3E" w:rsidRPr="003F39F9"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AB1E3E" w:rsidRPr="00A83724" w:rsidRDefault="00AB1E3E" w:rsidP="00A538BB">
      <w:pPr>
        <w:pStyle w:val="FootnoteText"/>
        <w:tabs>
          <w:tab w:val="left" w:pos="284"/>
        </w:tabs>
        <w:spacing w:after="0" w:line="240" w:lineRule="auto"/>
        <w:ind w:left="284" w:hanging="284"/>
      </w:pPr>
    </w:p>
  </w:footnote>
  <w:footnote w:id="4">
    <w:p w14:paraId="3BBB8DEE" w14:textId="554BF9A0" w:rsidR="00AB1E3E" w:rsidRPr="006250FD"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rPr>
          <w:bCs/>
        </w:rPr>
        <w:t xml:space="preserve">Directive 2007/64/EC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AB1E3E" w:rsidRPr="00A83724"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AB1E3E" w:rsidRPr="00A83724" w:rsidRDefault="00AB1E3E"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89F7" w14:textId="77777777" w:rsidR="00AB1E3E" w:rsidRDefault="00AB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AB1E3E" w:rsidRDefault="00AB1E3E" w:rsidP="001C2768">
    <w:pPr>
      <w:pStyle w:val="Header"/>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AB1E3E" w:rsidRPr="00192D0E" w:rsidRDefault="00AB1E3E" w:rsidP="001C2768">
    <w:pPr>
      <w:pStyle w:val="Header"/>
      <w:jc w:val="right"/>
      <w:rPr>
        <w:sz w:val="18"/>
        <w:szCs w:val="18"/>
      </w:rPr>
    </w:pPr>
    <w:r w:rsidRPr="00192D0E">
      <w:rPr>
        <w:sz w:val="18"/>
        <w:szCs w:val="18"/>
      </w:rPr>
      <w:t>Mono benefi</w:t>
    </w:r>
    <w:r>
      <w:rPr>
        <w:sz w:val="18"/>
        <w:szCs w:val="18"/>
      </w:rPr>
      <w:t>ciary model grant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1B14" w14:textId="77777777" w:rsidR="00AB1E3E" w:rsidRDefault="00AB1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8941" w14:textId="77777777" w:rsidR="00AB1E3E" w:rsidRPr="00192D0E" w:rsidRDefault="00AB1E3E" w:rsidP="00BB52CD">
    <w:pPr>
      <w:pStyle w:val="Header"/>
      <w:jc w:val="right"/>
      <w:rPr>
        <w:sz w:val="18"/>
        <w:szCs w:val="18"/>
      </w:rPr>
    </w:pPr>
    <w:r>
      <w:rPr>
        <w:sz w:val="18"/>
      </w:rPr>
      <w:t>Agreement number</w:t>
    </w:r>
    <w:r w:rsidRPr="003143A0">
      <w:rPr>
        <w:sz w:val="18"/>
      </w:rPr>
      <w:t>: [</w:t>
    </w:r>
    <w:r w:rsidRPr="004C0364">
      <w:rPr>
        <w:sz w:val="18"/>
      </w:rPr>
      <w:t>complete</w:t>
    </w:r>
    <w:r w:rsidRPr="003143A0">
      <w:rPr>
        <w:sz w:val="18"/>
      </w:rPr>
      <w:t>]</w:t>
    </w:r>
    <w:r>
      <w:rPr>
        <w:sz w:val="18"/>
      </w:rPr>
      <w:tab/>
    </w:r>
    <w:r>
      <w:rPr>
        <w:sz w:val="18"/>
      </w:rPr>
      <w:tab/>
    </w:r>
  </w:p>
  <w:p w14:paraId="56E809DF" w14:textId="77777777" w:rsidR="00AB1E3E" w:rsidRPr="00192D0E" w:rsidRDefault="00AB1E3E" w:rsidP="00BB52CD">
    <w:pPr>
      <w:pStyle w:val="Header"/>
      <w:jc w:val="right"/>
      <w:rPr>
        <w:sz w:val="18"/>
        <w:szCs w:val="18"/>
      </w:rPr>
    </w:pPr>
    <w:r w:rsidRPr="00192D0E">
      <w:rPr>
        <w:sz w:val="18"/>
        <w:szCs w:val="18"/>
      </w:rPr>
      <w:t>Mono benefi</w:t>
    </w:r>
    <w:r>
      <w:rPr>
        <w:sz w:val="18"/>
        <w:szCs w:val="18"/>
      </w:rPr>
      <w:t>ciary model grant agreement</w:t>
    </w:r>
  </w:p>
  <w:p w14:paraId="3BBB8DB9" w14:textId="318BA52A" w:rsidR="00AB1E3E" w:rsidRDefault="00AB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4D80"/>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211F"/>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ACA"/>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006"/>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3E1"/>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5E93"/>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3E"/>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52CD"/>
    <w:rsid w:val="00BB60E8"/>
    <w:rsid w:val="00BB611C"/>
    <w:rsid w:val="00BB61B3"/>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040"/>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2F3C"/>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21F"/>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bb01951-1c45-4a5c-a97e-d9358664634d" xsi:nil="true"/>
    <Documents xmlns="cbb01951-1c45-4a5c-a97e-d9358664634d">3. Annex II.A – Erasmus+ Grant agreements (master files)</Documents>
    <Year xmlns="cbb01951-1c45-4a5c-a97e-d9358664634d">2021</Year>
    <EC_Collab_DocumentLanguage xmlns="cbb01951-1c45-4a5c-a97e-d9358664634d">EN</EC_Collab_DocumentLanguage>
    <EC_Collab_Status xmlns="cbb01951-1c45-4a5c-a97e-d9358664634d">Final</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95EA-A5A4-472C-AF89-D6AFAEB8452B}">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cbb01951-1c45-4a5c-a97e-d9358664634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C38968E-551A-427E-A8CB-F91554B8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05F56B00-B8AB-4448-9885-312F6A43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13383</Words>
  <Characters>71600</Characters>
  <Application>Microsoft Office Word</Application>
  <DocSecurity>0</DocSecurity>
  <Lines>1350</Lines>
  <Paragraphs>772</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84211</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dc:description/>
  <cp:lastModifiedBy>BIRZNIECE Violeta (EAC)</cp:lastModifiedBy>
  <cp:revision>3</cp:revision>
  <cp:lastPrinted>2019-04-12T06:32:00Z</cp:lastPrinted>
  <dcterms:created xsi:type="dcterms:W3CDTF">2021-07-13T10:13:00Z</dcterms:created>
  <dcterms:modified xsi:type="dcterms:W3CDTF">2021-07-13T10:15:00Z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0x010100258AA79CEB83498886A3A08681123250003B94253FC379F34EB27B3DFBA4A568C1</vt:lpwstr>
  </property>
  <property fmtid="{D5CDD505-2E9C-101B-9397-08002B2CF9AE}" pid="4" name="Order">
    <vt:r8>32600</vt:r8>
  </property>
</Properties>
</file>